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D8" w:rsidRDefault="00F12AD8"/>
    <w:p w:rsidR="00F12AD8" w:rsidRDefault="00F12AD8"/>
    <w:p w:rsidR="00F12AD8" w:rsidRDefault="00F12AD8"/>
    <w:p w:rsidR="00F12AD8" w:rsidRDefault="00F12AD8"/>
    <w:p w:rsidR="00F12AD8" w:rsidRDefault="00F12AD8"/>
    <w:p w:rsidR="00F12AD8" w:rsidRDefault="00F12AD8"/>
    <w:p w:rsidR="00F12AD8" w:rsidRDefault="00F12AD8"/>
    <w:tbl>
      <w:tblPr>
        <w:tblStyle w:val="Tabelraster"/>
        <w:tblW w:w="0" w:type="auto"/>
        <w:tblInd w:w="788" w:type="dxa"/>
        <w:tblLook w:val="04A0" w:firstRow="1" w:lastRow="0" w:firstColumn="1" w:lastColumn="0" w:noHBand="0" w:noVBand="1"/>
      </w:tblPr>
      <w:tblGrid>
        <w:gridCol w:w="2273"/>
        <w:gridCol w:w="1536"/>
        <w:gridCol w:w="1581"/>
      </w:tblGrid>
      <w:tr w:rsidR="00F12AD8" w:rsidTr="00F12AD8">
        <w:tc>
          <w:tcPr>
            <w:tcW w:w="0" w:type="auto"/>
          </w:tcPr>
          <w:p w:rsidR="00F12AD8" w:rsidRDefault="00F12AD8">
            <w:pPr>
              <w:ind w:left="0"/>
            </w:pPr>
          </w:p>
        </w:tc>
        <w:tc>
          <w:tcPr>
            <w:tcW w:w="0" w:type="auto"/>
          </w:tcPr>
          <w:p w:rsidR="00F12AD8" w:rsidRDefault="00F12AD8">
            <w:pPr>
              <w:ind w:left="0"/>
            </w:pPr>
            <w:r>
              <w:t>Rekening 2016</w:t>
            </w:r>
          </w:p>
        </w:tc>
        <w:tc>
          <w:tcPr>
            <w:tcW w:w="0" w:type="auto"/>
          </w:tcPr>
          <w:p w:rsidR="00F12AD8" w:rsidRDefault="00F12AD8">
            <w:pPr>
              <w:ind w:left="0"/>
            </w:pPr>
            <w:r>
              <w:t>Begroting 2017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Inkomsten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72,50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400,00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Uitgaven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Bankkosten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165,00</w:t>
            </w:r>
          </w:p>
        </w:tc>
        <w:tc>
          <w:tcPr>
            <w:tcW w:w="0" w:type="auto"/>
            <w:vAlign w:val="center"/>
          </w:tcPr>
          <w:p w:rsidR="00F12AD8" w:rsidRDefault="00F12AD8" w:rsidP="00E132B0">
            <w:pPr>
              <w:ind w:left="0"/>
              <w:jc w:val="right"/>
            </w:pPr>
            <w:r>
              <w:t>1</w:t>
            </w:r>
            <w:r w:rsidR="00E132B0">
              <w:t>50</w:t>
            </w:r>
            <w:r>
              <w:t>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Inrichting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00,00</w:t>
            </w:r>
          </w:p>
        </w:tc>
        <w:tc>
          <w:tcPr>
            <w:tcW w:w="0" w:type="auto"/>
            <w:vAlign w:val="center"/>
          </w:tcPr>
          <w:p w:rsidR="00F12AD8" w:rsidRDefault="00E132B0" w:rsidP="0059561D">
            <w:pPr>
              <w:ind w:left="0"/>
              <w:jc w:val="right"/>
            </w:pPr>
            <w:r>
              <w:t>0</w:t>
            </w:r>
            <w:r w:rsidR="00F12AD8">
              <w:t>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Materiaal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2,04</w:t>
            </w:r>
          </w:p>
        </w:tc>
        <w:tc>
          <w:tcPr>
            <w:tcW w:w="0" w:type="auto"/>
            <w:vAlign w:val="center"/>
          </w:tcPr>
          <w:p w:rsidR="00F12AD8" w:rsidRDefault="00E132B0" w:rsidP="00E132B0">
            <w:pPr>
              <w:ind w:left="0"/>
              <w:jc w:val="right"/>
            </w:pPr>
            <w:r>
              <w:t>50</w:t>
            </w:r>
            <w:r w:rsidR="00F12AD8">
              <w:t>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Nieuwjaar</w:t>
            </w:r>
            <w:r w:rsidR="005961B6">
              <w:t>sreceptie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94,50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100,00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KvK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00,00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30,00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Apparatuur</w:t>
            </w:r>
            <w:r w:rsidR="005961B6">
              <w:t xml:space="preserve"> vervanging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149,00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200,00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Attenties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00,00</w:t>
            </w:r>
          </w:p>
        </w:tc>
        <w:tc>
          <w:tcPr>
            <w:tcW w:w="0" w:type="auto"/>
            <w:vAlign w:val="center"/>
          </w:tcPr>
          <w:p w:rsidR="00F12AD8" w:rsidRDefault="00E132B0" w:rsidP="0059561D">
            <w:pPr>
              <w:ind w:left="0"/>
              <w:jc w:val="right"/>
            </w:pPr>
            <w:r>
              <w:t>25</w:t>
            </w:r>
            <w:r w:rsidR="00F12AD8">
              <w:t>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Radio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72,62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50,00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Webhosting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29,04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29,04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Kantoorkosten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00,00</w:t>
            </w:r>
          </w:p>
        </w:tc>
        <w:tc>
          <w:tcPr>
            <w:tcW w:w="0" w:type="auto"/>
            <w:vAlign w:val="center"/>
          </w:tcPr>
          <w:p w:rsidR="00F12AD8" w:rsidRDefault="005961B6" w:rsidP="0059561D">
            <w:pPr>
              <w:ind w:left="0"/>
              <w:jc w:val="right"/>
            </w:pPr>
            <w:r>
              <w:t>0</w:t>
            </w:r>
            <w:r w:rsidR="00F12AD8">
              <w:t>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Sinterklaas</w:t>
            </w:r>
            <w:r w:rsidR="005961B6">
              <w:t>film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</w:p>
        </w:tc>
        <w:tc>
          <w:tcPr>
            <w:tcW w:w="0" w:type="auto"/>
            <w:vAlign w:val="center"/>
          </w:tcPr>
          <w:p w:rsidR="00F12AD8" w:rsidRDefault="00E132B0" w:rsidP="0059561D">
            <w:pPr>
              <w:ind w:left="0"/>
              <w:jc w:val="right"/>
            </w:pPr>
            <w:r>
              <w:t>7</w:t>
            </w:r>
            <w:r w:rsidR="00F12AD8">
              <w:t>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Onvoorzien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52,82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50,00</w:t>
            </w:r>
          </w:p>
        </w:tc>
      </w:tr>
      <w:tr w:rsidR="00F12AD8" w:rsidTr="0059561D">
        <w:tc>
          <w:tcPr>
            <w:tcW w:w="0" w:type="auto"/>
          </w:tcPr>
          <w:p w:rsidR="00F12AD8" w:rsidRDefault="00F12AD8">
            <w:pPr>
              <w:ind w:left="0"/>
            </w:pPr>
            <w:r>
              <w:t>Saldo</w:t>
            </w:r>
          </w:p>
        </w:tc>
        <w:tc>
          <w:tcPr>
            <w:tcW w:w="0" w:type="auto"/>
            <w:vAlign w:val="center"/>
          </w:tcPr>
          <w:p w:rsidR="00F12AD8" w:rsidRDefault="00F12AD8" w:rsidP="0059561D">
            <w:pPr>
              <w:ind w:left="0"/>
              <w:jc w:val="right"/>
            </w:pPr>
            <w:r>
              <w:t>-</w:t>
            </w:r>
            <w:r w:rsidR="0059561D">
              <w:t>492,52</w:t>
            </w:r>
          </w:p>
        </w:tc>
        <w:tc>
          <w:tcPr>
            <w:tcW w:w="0" w:type="auto"/>
            <w:vAlign w:val="center"/>
          </w:tcPr>
          <w:p w:rsidR="00F12AD8" w:rsidRDefault="0059561D" w:rsidP="00E132B0">
            <w:pPr>
              <w:ind w:left="0"/>
              <w:jc w:val="right"/>
            </w:pPr>
            <w:r>
              <w:t>-</w:t>
            </w:r>
            <w:r w:rsidR="00E132B0">
              <w:t>354,04</w:t>
            </w:r>
          </w:p>
        </w:tc>
      </w:tr>
    </w:tbl>
    <w:p w:rsidR="00A50A2D" w:rsidRDefault="00A50A2D"/>
    <w:p w:rsidR="0059561D" w:rsidRDefault="0059561D">
      <w:r>
        <w:t>Toelichting Rekening 2016</w:t>
      </w:r>
    </w:p>
    <w:p w:rsidR="0059561D" w:rsidRDefault="0059561D">
      <w:r>
        <w:t>2016 was een zwaar jaar. De inkomsten vielen erg tegen. Daar tegenover stond dat de uitgaven niet uit de pan rezen. Bijna € 500,00 euro moest uit de reserves komen. Daardoor is de bodem van de schatkist inmiddels zichtbaar.</w:t>
      </w:r>
      <w:r w:rsidR="005961B6">
        <w:t xml:space="preserve"> </w:t>
      </w:r>
    </w:p>
    <w:p w:rsidR="0059561D" w:rsidRDefault="0059561D">
      <w:r>
        <w:t>In 2017 zullen we alles uit de kast moeten halen om sponsoren te vinden.</w:t>
      </w:r>
    </w:p>
    <w:p w:rsidR="0059561D" w:rsidRDefault="0059561D"/>
    <w:p w:rsidR="0059561D" w:rsidRDefault="0059561D">
      <w:r>
        <w:t>Toelichting Begroting 2017</w:t>
      </w:r>
    </w:p>
    <w:p w:rsidR="0059561D" w:rsidRDefault="00E132B0">
      <w:r>
        <w:t>De begroting is sober.</w:t>
      </w:r>
      <w:r w:rsidR="0059561D">
        <w:t xml:space="preserve"> </w:t>
      </w:r>
      <w:r>
        <w:t xml:space="preserve">Toch blijft er een negatief saldo over. In verband met het uitvoeren van het project “Modernisering van de televisieafdeling” zullen alleen voor de radio-afdeling onderdelen gekocht worden waarmee reparaties uitgevoerd kunnen worden. Voor de televisie-afdeling zal, bij grote technische problemen, gebruik gemaakt worden van vervanging uit de aanwezige apparatuur. Hiermee is vorig jaar al begonnen. </w:t>
      </w:r>
    </w:p>
    <w:p w:rsidR="00161E78" w:rsidRDefault="00161E78">
      <w:r>
        <w:t xml:space="preserve">Het bestuur legt bij de Stichting Amarant een verzoek neer voor  </w:t>
      </w:r>
      <w:r w:rsidR="00E132B0">
        <w:t xml:space="preserve">het nakomen van de afspraak mbt een </w:t>
      </w:r>
      <w:r>
        <w:t>jaarlijkse toelage</w:t>
      </w:r>
      <w:r w:rsidR="00E132B0">
        <w:t>, zoals voorzien in de statuten,</w:t>
      </w:r>
      <w:r>
        <w:t xml:space="preserve"> zodat de exploitatierekening daarmee gedekt is</w:t>
      </w:r>
      <w:r w:rsidR="00E132B0">
        <w:t xml:space="preserve"> en er een verantwoordelijke reserve opgebouwd kan worden. </w:t>
      </w:r>
    </w:p>
    <w:p w:rsidR="0059561D" w:rsidRDefault="0059561D"/>
    <w:p w:rsidR="00161E78" w:rsidRDefault="0059561D">
      <w:r>
        <w:t xml:space="preserve">In 2017 </w:t>
      </w:r>
      <w:r w:rsidR="0002562D">
        <w:t>wordt gestart met het project “</w:t>
      </w:r>
      <w:r>
        <w:t xml:space="preserve"> modernisering van de televisieafdeling</w:t>
      </w:r>
      <w:r w:rsidR="0002562D">
        <w:t>”</w:t>
      </w:r>
      <w:bookmarkStart w:id="0" w:name="_GoBack"/>
      <w:bookmarkEnd w:id="0"/>
      <w:r>
        <w:t xml:space="preserve">. </w:t>
      </w:r>
      <w:r w:rsidR="00161E78">
        <w:t>Het streven is om in de eerste helft van 2018 de nieuwe apparatuur in gebruik te nemen</w:t>
      </w:r>
    </w:p>
    <w:p w:rsidR="00161E78" w:rsidRDefault="00161E78" w:rsidP="00161E78">
      <w:r>
        <w:t>Er is een aparte begroting opgesteld inclusief een dekkingsplan. Het dekkingsplan gaat uit van donaties en giften.</w:t>
      </w:r>
    </w:p>
    <w:sectPr w:rsidR="0016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D8"/>
    <w:rsid w:val="0002562D"/>
    <w:rsid w:val="00161E78"/>
    <w:rsid w:val="00371F90"/>
    <w:rsid w:val="0059561D"/>
    <w:rsid w:val="005961B6"/>
    <w:rsid w:val="00A50A2D"/>
    <w:rsid w:val="00B140CF"/>
    <w:rsid w:val="00BD2171"/>
    <w:rsid w:val="00E132B0"/>
    <w:rsid w:val="00F1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Loes48</dc:creator>
  <cp:lastModifiedBy>Loes48</cp:lastModifiedBy>
  <cp:revision>2</cp:revision>
  <dcterms:created xsi:type="dcterms:W3CDTF">2017-11-01T20:16:00Z</dcterms:created>
  <dcterms:modified xsi:type="dcterms:W3CDTF">2017-11-01T20:16:00Z</dcterms:modified>
</cp:coreProperties>
</file>